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28"/>
          <w:szCs w:val="28"/>
        </w:rPr>
      </w:pPr>
      <w:r>
        <w:rPr>
          <w:rFonts w:hint="eastAsia" w:ascii="宋体" w:hAnsi="宋体" w:cs="宋体"/>
          <w:b/>
          <w:bCs/>
          <w:sz w:val="28"/>
          <w:szCs w:val="28"/>
        </w:rPr>
        <w:t>附件</w:t>
      </w:r>
      <w:r>
        <w:rPr>
          <w:rFonts w:ascii="宋体" w:hAnsi="宋体" w:cs="宋体"/>
          <w:b/>
          <w:bCs/>
          <w:sz w:val="28"/>
          <w:szCs w:val="28"/>
        </w:rPr>
        <w:t>1</w:t>
      </w:r>
      <w:r>
        <w:rPr>
          <w:rFonts w:hint="eastAsia" w:ascii="宋体" w:hAnsi="宋体" w:cs="宋体"/>
          <w:b/>
          <w:bCs/>
          <w:sz w:val="28"/>
          <w:szCs w:val="28"/>
        </w:rPr>
        <w:t>：</w:t>
      </w:r>
    </w:p>
    <w:p>
      <w:pPr>
        <w:jc w:val="center"/>
        <w:rPr>
          <w:rFonts w:ascii="宋体" w:hAnsi="宋体" w:cs="宋体"/>
          <w:b/>
          <w:bCs/>
          <w:sz w:val="28"/>
          <w:szCs w:val="28"/>
        </w:rPr>
      </w:pPr>
      <w:r>
        <w:rPr>
          <w:rFonts w:hint="eastAsia" w:ascii="宋体" w:hAnsi="宋体" w:cs="宋体"/>
          <w:b/>
          <w:bCs/>
          <w:sz w:val="28"/>
          <w:szCs w:val="28"/>
        </w:rPr>
        <w:t>徐州工程学院大学生学科竞赛</w:t>
      </w:r>
      <w:r>
        <w:rPr>
          <w:rFonts w:ascii="宋体" w:hAnsi="宋体" w:cs="宋体"/>
          <w:b/>
          <w:bCs/>
          <w:sz w:val="28"/>
          <w:szCs w:val="28"/>
        </w:rPr>
        <w:t>I</w:t>
      </w:r>
      <w:r>
        <w:rPr>
          <w:rFonts w:hint="eastAsia" w:ascii="宋体" w:hAnsi="宋体" w:cs="宋体"/>
          <w:b/>
          <w:bCs/>
          <w:sz w:val="28"/>
          <w:szCs w:val="28"/>
        </w:rPr>
        <w:t>级项目汇总表</w:t>
      </w:r>
    </w:p>
    <w:tbl>
      <w:tblPr>
        <w:tblStyle w:val="5"/>
        <w:tblW w:w="8047" w:type="dxa"/>
        <w:jc w:val="center"/>
        <w:tblLayout w:type="autofit"/>
        <w:tblCellMar>
          <w:top w:w="0" w:type="dxa"/>
          <w:left w:w="108" w:type="dxa"/>
          <w:bottom w:w="0" w:type="dxa"/>
          <w:right w:w="108" w:type="dxa"/>
        </w:tblCellMar>
      </w:tblPr>
      <w:tblGrid>
        <w:gridCol w:w="680"/>
        <w:gridCol w:w="3080"/>
        <w:gridCol w:w="3080"/>
        <w:gridCol w:w="1207"/>
      </w:tblGrid>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竞赛名称</w:t>
            </w:r>
          </w:p>
        </w:tc>
        <w:tc>
          <w:tcPr>
            <w:tcW w:w="3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主办单位</w:t>
            </w:r>
          </w:p>
        </w:tc>
        <w:tc>
          <w:tcPr>
            <w:tcW w:w="12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竞赛奖励级别</w:t>
            </w: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中国“互联网+”大学生创新创业大赛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教育部、中央网络安全和信息化领导小组办公室、国家发展和改革委员会、工业和信息化部、人力资源和社会保障部、国家知识产权局、中国科学院、中国工程院、承办高校所在地省政府</w:t>
            </w:r>
          </w:p>
        </w:tc>
        <w:tc>
          <w:tcPr>
            <w:tcW w:w="1207" w:type="dxa"/>
            <w:vMerge w:val="restart"/>
            <w:tcBorders>
              <w:top w:val="nil"/>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A</w:t>
            </w:r>
            <w:r>
              <w:rPr>
                <w:rFonts w:hint="eastAsia"/>
                <w:kern w:val="0"/>
                <w:szCs w:val="21"/>
              </w:rPr>
              <w:t>等</w:t>
            </w: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“挑战杯”全国大学生课外学术科技作品竞赛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共青团中央、中国科协、教育部、全国学联、承办学校所在地省政府</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挑战杯</w:t>
            </w:r>
            <w:r>
              <w:rPr>
                <w:rFonts w:hint="eastAsia" w:ascii="宋体" w:hAnsi="宋体" w:cs="宋体"/>
                <w:kern w:val="0"/>
                <w:szCs w:val="21"/>
              </w:rPr>
              <w:t>”</w:t>
            </w:r>
            <w:r>
              <w:rPr>
                <w:rFonts w:hint="eastAsia" w:ascii="宋体" w:hAnsi="宋体" w:cs="宋体"/>
                <w:kern w:val="0"/>
                <w:szCs w:val="21"/>
                <w:lang w:eastAsia="zh-CN"/>
              </w:rPr>
              <w:t>中国大</w:t>
            </w:r>
            <w:bookmarkStart w:id="0" w:name="_GoBack"/>
            <w:bookmarkEnd w:id="0"/>
            <w:r>
              <w:rPr>
                <w:rFonts w:hint="eastAsia" w:ascii="宋体" w:hAnsi="宋体" w:cs="宋体"/>
                <w:kern w:val="0"/>
                <w:szCs w:val="21"/>
                <w:lang w:eastAsia="zh-CN"/>
              </w:rPr>
              <w:t>学生创业计划</w:t>
            </w:r>
            <w:r>
              <w:rPr>
                <w:rFonts w:hint="eastAsia" w:ascii="宋体" w:hAnsi="宋体" w:cs="宋体"/>
                <w:kern w:val="0"/>
                <w:szCs w:val="21"/>
              </w:rPr>
              <w:t>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共青团中央、中国科协、教育部、人社部、全国学联、承办学校所在地省政府</w:t>
            </w:r>
          </w:p>
        </w:tc>
        <w:tc>
          <w:tcPr>
            <w:tcW w:w="1207"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ACM-ICPC国际大学生程序设计竞赛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美国计算机协会（ACM）</w:t>
            </w:r>
          </w:p>
        </w:tc>
        <w:tc>
          <w:tcPr>
            <w:tcW w:w="1207" w:type="dxa"/>
            <w:vMerge w:val="restart"/>
            <w:tcBorders>
              <w:top w:val="nil"/>
              <w:left w:val="nil"/>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B</w:t>
            </w:r>
            <w:r>
              <w:rPr>
                <w:rFonts w:hint="eastAsia"/>
                <w:kern w:val="0"/>
                <w:szCs w:val="21"/>
              </w:rPr>
              <w:t>等</w:t>
            </w: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5</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全国大学生数学建模竞赛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教育部高等教育司、中国工业与应用数学学会</w:t>
            </w:r>
          </w:p>
        </w:tc>
        <w:tc>
          <w:tcPr>
            <w:tcW w:w="1207" w:type="dxa"/>
            <w:vMerge w:val="continue"/>
            <w:tcBorders>
              <w:left w:val="nil"/>
              <w:right w:val="single" w:color="auto" w:sz="4" w:space="0"/>
            </w:tcBorders>
            <w:noWrap w:val="0"/>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6</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全国大学生电子设计竞赛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教育部高等教育司、工信部人教司</w:t>
            </w:r>
          </w:p>
        </w:tc>
        <w:tc>
          <w:tcPr>
            <w:tcW w:w="1207"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7</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全国大学生化学实验邀请赛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教育部高等学校化学教育研究中心</w:t>
            </w:r>
          </w:p>
        </w:tc>
        <w:tc>
          <w:tcPr>
            <w:tcW w:w="1207" w:type="dxa"/>
            <w:vMerge w:val="restart"/>
            <w:tcBorders>
              <w:top w:val="nil"/>
              <w:left w:val="nil"/>
              <w:right w:val="single" w:color="auto" w:sz="4" w:space="0"/>
            </w:tcBorders>
            <w:noWrap/>
            <w:vAlign w:val="center"/>
          </w:tcPr>
          <w:p>
            <w:pPr>
              <w:widowControl/>
              <w:jc w:val="center"/>
              <w:rPr>
                <w:rFonts w:hint="eastAsia"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Ⅰ级</w:t>
            </w:r>
            <w:r>
              <w:rPr>
                <w:kern w:val="0"/>
                <w:szCs w:val="21"/>
              </w:rPr>
              <w:t>C</w:t>
            </w:r>
            <w:r>
              <w:rPr>
                <w:rFonts w:hint="eastAsia"/>
                <w:kern w:val="0"/>
                <w:szCs w:val="21"/>
              </w:rPr>
              <w:t>等</w:t>
            </w:r>
          </w:p>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8</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全国大学生机械创新设计大赛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全国大学生机械创新设计大赛组委会、教育部高等学校机械基础课程教学指导委员会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9</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全国大学生结构设计竞赛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中国高等教育学会工程教育专业委员会、高等学校土木工程学科专业指导委员会、中国土木工程学会教育工作委员会、教育部科学技术委员会环境与土木水利学部</w:t>
            </w:r>
          </w:p>
        </w:tc>
        <w:tc>
          <w:tcPr>
            <w:tcW w:w="1207" w:type="dxa"/>
            <w:vMerge w:val="continue"/>
            <w:tcBorders>
              <w:left w:val="nil"/>
              <w:bottom w:val="single" w:color="auto" w:sz="4" w:space="0"/>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10</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全国大学生广告艺术大赛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教育部高等学校新闻传播学类专业教学指导委员会、中国高等教育学会广告教育专业委员会</w:t>
            </w:r>
          </w:p>
        </w:tc>
        <w:tc>
          <w:tcPr>
            <w:tcW w:w="1207"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11</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全国大学生智能汽车竞赛</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教育部高等学校自动化类专业教学指导委员会</w:t>
            </w:r>
          </w:p>
        </w:tc>
        <w:tc>
          <w:tcPr>
            <w:tcW w:w="1207"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C</w:t>
            </w:r>
            <w:r>
              <w:rPr>
                <w:rFonts w:hint="eastAsia"/>
                <w:kern w:val="0"/>
                <w:szCs w:val="21"/>
              </w:rPr>
              <w:t>等</w:t>
            </w:r>
          </w:p>
          <w:p>
            <w:pPr>
              <w:jc w:val="center"/>
              <w:rPr>
                <w:rFonts w:hint="eastAsia" w:ascii="宋体" w:hAnsi="宋体" w:cs="宋体"/>
                <w:kern w:val="0"/>
                <w:szCs w:val="21"/>
              </w:rPr>
            </w:pP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全国大学生电子商务“创新、创意及创业”挑战赛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教育部高等学校电子商务类专业教学指导委员会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全国大学生节能减排社会实践与科技竞赛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教育部高等教育司</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14</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全国大学生工程训练综合能力竞赛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教育部高等教育司</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15</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全国大学生物流设计大赛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教育部高等学校物流管理与工程类专业教学指导委员会、中国物流与采购联合会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16</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外研社全国大学生英语系列赛-英语演讲、英语辩论、英语写作、英语阅读</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外语教学与研究出版社、北京外研在线教育科技有限公司和教育部高等学校大学外语教学指导委员会、教育部高等学校英语专业教学指导分委员会、中国外语教育研究中心</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17</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全国大学生创新创业训练计划年会展示</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“国家级大学生创新创业计划”专家工作组</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18</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美国(国际)大学生数学建模竞赛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美国数学及其应用联合会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19</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全国大学生机器人大赛-RoboMaster、RoboCon</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共青团中央、全国学联</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20</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“西门子杯”中国智能制造挑战赛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教育部、西门子(中国)有限公司、中国仿真学会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21</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全国大学生化工设计竞赛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中国化工学会、中国化工教育协会、教育部高等学校化工类专业教学指导委员会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全国大学生先进成图技术与产品信息建模创新大赛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教育部、中国科协、中国图学学会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中国大学生计算机设计大赛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教育部高等学校计算机类专业教学指导委员会</w:t>
            </w:r>
            <w:r>
              <w:rPr>
                <w:kern w:val="0"/>
                <w:szCs w:val="21"/>
              </w:rPr>
              <w:t>(</w:t>
            </w:r>
            <w:r>
              <w:rPr>
                <w:rFonts w:hint="eastAsia" w:ascii="宋体" w:hAnsi="宋体" w:cs="宋体"/>
                <w:kern w:val="0"/>
                <w:szCs w:val="21"/>
              </w:rPr>
              <w:t>中国计算机设计大赛组织委员会</w:t>
            </w:r>
            <w:r>
              <w:rPr>
                <w:kern w:val="0"/>
                <w:szCs w:val="21"/>
              </w:rPr>
              <w:t>)</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24</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全国大学生市场调查与分析大赛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教育部高等学校统计学类专业教学指导委员会、中国商业统计学会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25</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中国大学生服务外包创新创业大赛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教育部、商务部、无锡市人民政府</w:t>
            </w:r>
          </w:p>
        </w:tc>
        <w:tc>
          <w:tcPr>
            <w:tcW w:w="1207" w:type="dxa"/>
            <w:vMerge w:val="continue"/>
            <w:tcBorders>
              <w:left w:val="nil"/>
              <w:bottom w:val="single" w:color="auto" w:sz="4" w:space="0"/>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26</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两岸新锐设计竞赛“华灿奖”</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中国高等教育学会</w:t>
            </w:r>
          </w:p>
        </w:tc>
        <w:tc>
          <w:tcPr>
            <w:tcW w:w="1207"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C</w:t>
            </w:r>
            <w:r>
              <w:rPr>
                <w:rFonts w:hint="eastAsia"/>
                <w:kern w:val="0"/>
                <w:szCs w:val="21"/>
              </w:rPr>
              <w:t>等</w:t>
            </w:r>
          </w:p>
          <w:p>
            <w:pPr>
              <w:jc w:val="center"/>
              <w:rPr>
                <w:rFonts w:hint="eastAsia" w:ascii="宋体" w:hAnsi="宋体" w:cs="宋体"/>
                <w:kern w:val="0"/>
                <w:szCs w:val="21"/>
              </w:rPr>
            </w:pP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27</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中国高校计算机大赛-大数据挑战赛、团体程序设计天梯赛、移动应用创新赛、网络技术挑战赛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教育部高等学校计算机类专业教学指导委员会、教育部高等学校软件工程专业教学指导委员会、教育部高等学校大学计算机课程教学指导委员会、全国高等学校计算机教育研究会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28</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中国机器人大赛暨RoboCup机器人世界杯中国赛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中国自动化学会、RoboCup中国委员会、RoboCup青少年机器人世界杯中国组委会、中国自动化学会机器人竞赛与培训部、中国自动化学会机器人竞赛工作委员会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29</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全国大学生信息安全竞赛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教育部高等学校信息安全教学教学指导委员会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30</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全国周培源大学生力学竞赛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教育部高等学校力学教学指导委员会力学基础课程教学指导分委员会、中国力学学会、周培源基金会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31</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中国大学生机械工程创新创意大赛-过程装备实践与创新赛、铸造工艺设计赛、材料热处理创新创业赛、起重机创意赛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中国机械工程学会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“蓝桥杯”全国软件和信息技术专业人才大赛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教育部高校学生司指导，工业和信息化部人才交流中心、教育部全国高等学校学生信息咨询与就业指导中心</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全国大学生金相技能大赛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教育部高等学校材料类专业教学指导委员会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34</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“中国软件杯”大学生软件设计大赛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工业和信息化部、教育部、江苏省人民政府</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35</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全国大学生光电设计竞赛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中国光学学会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36</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全国高校数字艺术设计大赛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工业和信息化部人才交流中心</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37</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中美青年创客大赛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教育部留学服务中心</w:t>
            </w:r>
          </w:p>
        </w:tc>
        <w:tc>
          <w:tcPr>
            <w:tcW w:w="1207" w:type="dxa"/>
            <w:vMerge w:val="continue"/>
            <w:tcBorders>
              <w:left w:val="nil"/>
              <w:bottom w:val="single" w:color="auto" w:sz="4" w:space="0"/>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38</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米兰设计周--中国高校设计学科师生优秀作品展</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中国教育国际交流协会、中国高等教育学会</w:t>
            </w:r>
          </w:p>
        </w:tc>
        <w:tc>
          <w:tcPr>
            <w:tcW w:w="1207"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C</w:t>
            </w:r>
            <w:r>
              <w:rPr>
                <w:rFonts w:hint="eastAsia"/>
                <w:kern w:val="0"/>
                <w:szCs w:val="21"/>
              </w:rPr>
              <w:t>等</w:t>
            </w:r>
          </w:p>
          <w:p>
            <w:pPr>
              <w:jc w:val="center"/>
              <w:rPr>
                <w:rFonts w:hint="eastAsia" w:ascii="宋体" w:hAnsi="宋体" w:cs="宋体"/>
                <w:kern w:val="0"/>
                <w:szCs w:val="21"/>
              </w:rPr>
            </w:pP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39</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全国大学生集成电路创新创业大赛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工业和信息化部人才交流中心</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40</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中国机器人及人工智能大赛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中国人工智能学会、教育部高等学校大学计算机课程教学指导委员会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41</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全国高校商业精英挑战赛-品牌策划竞赛、会展专业创新创业实践竞赛、国际贸易竞赛、创新创业竞赛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工业和信息化部人才交流中心、中国贸促会商业行业委员会、中国国际商会商业行业商会、（国资委）商业国际交流合作培训中心</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中国好创意暨全国数字艺术设计大赛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全国高等院校计算机基础教育研究会、中国电子视像行业协会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全国三维数字化创新设计大赛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国家制造业信息化培训中心、全国三维数字化技术推广服务与教育培训联盟（3D动力）、光华设计发展基金会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44</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“学创杯”全国大学生创业综合模拟大赛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高等学校国家级实验教学示范中心联席会经济与管理学科组</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45</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“大唐杯”全国大学生移动通信5G技术大赛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工业和信息化部人才交流中心、中国通信企业协会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46</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全国大学生物理实验竞赛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国家实验教学示范中心联席会、全国高等学校实验物理教学研究会、中国物理学会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47</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全国高校BIM毕业设计创新大赛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信息技术新工科产学研联盟</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48</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RoboCom机器人开发者大赛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由工业和信息化部人才交流中心、中国计算机教育联合会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49</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全国大学生生命科学竞赛（CULSC)-生命科学竞赛、生命创新创业大赛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高等学校国家级实验教学示范中心联席会、 《高校生物学教学研究》 编委会、 全国大学生生命科学创新创业大赛组织委员会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50</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华为ICT大赛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华为生态大学</w:t>
            </w:r>
          </w:p>
        </w:tc>
        <w:tc>
          <w:tcPr>
            <w:tcW w:w="1207"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51</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全国大学生嵌入式芯片与系统设计竞赛</w:t>
            </w:r>
          </w:p>
        </w:tc>
        <w:tc>
          <w:tcPr>
            <w:tcW w:w="30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教育部高等学校电子信息类专业教学指导委员会、中国电子教育学会</w:t>
            </w:r>
          </w:p>
        </w:tc>
        <w:tc>
          <w:tcPr>
            <w:tcW w:w="1207"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Ⅰ级</w:t>
            </w:r>
            <w:r>
              <w:rPr>
                <w:kern w:val="0"/>
                <w:szCs w:val="21"/>
              </w:rPr>
              <w:t>C</w:t>
            </w:r>
            <w:r>
              <w:rPr>
                <w:rFonts w:hint="eastAsia"/>
                <w:kern w:val="0"/>
                <w:szCs w:val="21"/>
              </w:rPr>
              <w:t>等</w:t>
            </w:r>
          </w:p>
          <w:p>
            <w:pPr>
              <w:jc w:val="center"/>
              <w:rPr>
                <w:rFonts w:hint="eastAsia" w:ascii="宋体" w:hAnsi="宋体" w:cs="宋体"/>
                <w:kern w:val="0"/>
                <w:szCs w:val="21"/>
              </w:rPr>
            </w:pPr>
          </w:p>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52</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中国高校智能机器人创意大赛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中国高等教育学会、教育部工程图学课程教学指导分委员会</w:t>
            </w:r>
          </w:p>
        </w:tc>
        <w:tc>
          <w:tcPr>
            <w:tcW w:w="1207" w:type="dxa"/>
            <w:vMerge w:val="continue"/>
            <w:tcBorders>
              <w:left w:val="nil"/>
              <w:right w:val="single" w:color="auto" w:sz="4" w:space="0"/>
            </w:tcBorders>
            <w:noWrap/>
            <w:vAlign w:val="center"/>
          </w:tcPr>
          <w:p>
            <w:pPr>
              <w:jc w:val="center"/>
              <w:rPr>
                <w:rFonts w:ascii="宋体" w:hAnsi="宋体" w:cs="宋体"/>
                <w:kern w:val="0"/>
                <w:szCs w:val="21"/>
              </w:rPr>
            </w:pPr>
          </w:p>
        </w:tc>
      </w:tr>
      <w:tr>
        <w:tblPrEx>
          <w:tblCellMar>
            <w:top w:w="0" w:type="dxa"/>
            <w:left w:w="108" w:type="dxa"/>
            <w:bottom w:w="0" w:type="dxa"/>
            <w:right w:w="108" w:type="dxa"/>
          </w:tblCellMar>
        </w:tblPrEx>
        <w:trPr>
          <w:trHeight w:val="702" w:hRule="atLeast"/>
          <w:jc w:val="center"/>
        </w:trPr>
        <w:tc>
          <w:tcPr>
            <w:tcW w:w="680" w:type="dxa"/>
            <w:tcBorders>
              <w:top w:val="nil"/>
              <w:left w:val="single" w:color="auto" w:sz="4" w:space="0"/>
              <w:bottom w:val="single" w:color="auto" w:sz="4" w:space="0"/>
              <w:right w:val="single" w:color="auto" w:sz="4" w:space="0"/>
            </w:tcBorders>
            <w:noWrap w:val="0"/>
            <w:vAlign w:val="center"/>
          </w:tcPr>
          <w:p>
            <w:pPr>
              <w:widowControl/>
              <w:jc w:val="center"/>
              <w:rPr>
                <w:kern w:val="0"/>
                <w:szCs w:val="21"/>
              </w:rPr>
            </w:pPr>
            <w:r>
              <w:rPr>
                <w:kern w:val="0"/>
                <w:szCs w:val="21"/>
              </w:rPr>
              <w:t>53</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中华经典诵写讲大赛</w:t>
            </w:r>
          </w:p>
        </w:tc>
        <w:tc>
          <w:tcPr>
            <w:tcW w:w="308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教育部、国家语委</w:t>
            </w:r>
          </w:p>
        </w:tc>
        <w:tc>
          <w:tcPr>
            <w:tcW w:w="1207"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Cs w:val="21"/>
              </w:rPr>
            </w:pPr>
          </w:p>
        </w:tc>
      </w:tr>
    </w:tbl>
    <w:p>
      <w:pPr>
        <w:pStyle w:val="2"/>
        <w:spacing w:before="33"/>
        <w:rPr>
          <w:rFonts w:hint="eastAsia"/>
          <w:b/>
          <w:bCs/>
          <w:sz w:val="28"/>
          <w:szCs w:val="28"/>
        </w:rPr>
      </w:pPr>
    </w:p>
    <w:p>
      <w:pPr>
        <w:pStyle w:val="2"/>
        <w:spacing w:before="33"/>
        <w:rPr>
          <w:rFonts w:hint="eastAsia"/>
          <w:b/>
          <w:bCs/>
          <w:sz w:val="28"/>
          <w:szCs w:val="28"/>
        </w:rPr>
      </w:pPr>
    </w:p>
    <w:p>
      <w:pPr>
        <w:ind w:firstLine="5880" w:firstLineChars="2100"/>
        <w:rPr>
          <w:rFonts w:hint="eastAsia" w:ascii="仿宋" w:hAnsi="仿宋" w:eastAsia="仿宋" w:cs="仿宋"/>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PMingLiU"/>
    <w:panose1 w:val="00000000000000000000"/>
    <w:charset w:val="88"/>
    <w:family w:val="roma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BD6"/>
    <w:rsid w:val="0000357F"/>
    <w:rsid w:val="000B19DF"/>
    <w:rsid w:val="0018443B"/>
    <w:rsid w:val="001A66A6"/>
    <w:rsid w:val="001E1A83"/>
    <w:rsid w:val="001F47B5"/>
    <w:rsid w:val="002023B7"/>
    <w:rsid w:val="002830FF"/>
    <w:rsid w:val="00296DA6"/>
    <w:rsid w:val="002B060C"/>
    <w:rsid w:val="00300B4D"/>
    <w:rsid w:val="00302EC0"/>
    <w:rsid w:val="00310B58"/>
    <w:rsid w:val="0039578B"/>
    <w:rsid w:val="003D6082"/>
    <w:rsid w:val="003F1A72"/>
    <w:rsid w:val="00414D36"/>
    <w:rsid w:val="00480630"/>
    <w:rsid w:val="004B0F39"/>
    <w:rsid w:val="004B3755"/>
    <w:rsid w:val="004E0934"/>
    <w:rsid w:val="004F4678"/>
    <w:rsid w:val="00503195"/>
    <w:rsid w:val="00515992"/>
    <w:rsid w:val="005241C3"/>
    <w:rsid w:val="00594C53"/>
    <w:rsid w:val="005B48D4"/>
    <w:rsid w:val="005C6E3D"/>
    <w:rsid w:val="0062001B"/>
    <w:rsid w:val="00632483"/>
    <w:rsid w:val="0063693A"/>
    <w:rsid w:val="0066429A"/>
    <w:rsid w:val="0067193F"/>
    <w:rsid w:val="006724CC"/>
    <w:rsid w:val="006958D9"/>
    <w:rsid w:val="006B5B82"/>
    <w:rsid w:val="00794FDC"/>
    <w:rsid w:val="007B5D88"/>
    <w:rsid w:val="00886908"/>
    <w:rsid w:val="008B00CA"/>
    <w:rsid w:val="008B6365"/>
    <w:rsid w:val="008F5E6F"/>
    <w:rsid w:val="00922502"/>
    <w:rsid w:val="009574D1"/>
    <w:rsid w:val="00972285"/>
    <w:rsid w:val="00A230A3"/>
    <w:rsid w:val="00AC5AEE"/>
    <w:rsid w:val="00B02328"/>
    <w:rsid w:val="00B11A34"/>
    <w:rsid w:val="00B76C43"/>
    <w:rsid w:val="00BE4592"/>
    <w:rsid w:val="00BE6BDD"/>
    <w:rsid w:val="00BF75EE"/>
    <w:rsid w:val="00C0581C"/>
    <w:rsid w:val="00C44D99"/>
    <w:rsid w:val="00C5757F"/>
    <w:rsid w:val="00CC2BD6"/>
    <w:rsid w:val="00D56CAD"/>
    <w:rsid w:val="00D96F6B"/>
    <w:rsid w:val="00DE3113"/>
    <w:rsid w:val="00DF757A"/>
    <w:rsid w:val="00E00E4F"/>
    <w:rsid w:val="00E03BDA"/>
    <w:rsid w:val="00E71B6B"/>
    <w:rsid w:val="00E96E14"/>
    <w:rsid w:val="00EC0149"/>
    <w:rsid w:val="00EE5DBA"/>
    <w:rsid w:val="00F0405C"/>
    <w:rsid w:val="00F716D4"/>
    <w:rsid w:val="00FD01D5"/>
    <w:rsid w:val="055D77A5"/>
    <w:rsid w:val="06BD75B4"/>
    <w:rsid w:val="12C87C99"/>
    <w:rsid w:val="136036C1"/>
    <w:rsid w:val="16A7515C"/>
    <w:rsid w:val="173126C5"/>
    <w:rsid w:val="1B857E3D"/>
    <w:rsid w:val="1EEA51D6"/>
    <w:rsid w:val="23905639"/>
    <w:rsid w:val="26AC35A8"/>
    <w:rsid w:val="291D5CF6"/>
    <w:rsid w:val="2CD923ED"/>
    <w:rsid w:val="2FE738A5"/>
    <w:rsid w:val="35E84C0F"/>
    <w:rsid w:val="36D1605D"/>
    <w:rsid w:val="3FBD4502"/>
    <w:rsid w:val="461E6F82"/>
    <w:rsid w:val="5246282D"/>
    <w:rsid w:val="534B4DF8"/>
    <w:rsid w:val="537F7DDD"/>
    <w:rsid w:val="54100EA4"/>
    <w:rsid w:val="59DF2B80"/>
    <w:rsid w:val="676C10CE"/>
    <w:rsid w:val="69C615C7"/>
    <w:rsid w:val="6CC50431"/>
    <w:rsid w:val="70606875"/>
    <w:rsid w:val="72C2230A"/>
    <w:rsid w:val="7A186CA1"/>
    <w:rsid w:val="7AB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utoSpaceDE w:val="0"/>
      <w:autoSpaceDN w:val="0"/>
      <w:jc w:val="left"/>
    </w:pPr>
    <w:rPr>
      <w:kern w:val="0"/>
      <w:sz w:val="24"/>
      <w:szCs w:val="20"/>
    </w:rPr>
  </w:style>
  <w:style w:type="paragraph" w:styleId="3">
    <w:name w:val="Balloon Text"/>
    <w:basedOn w:val="1"/>
    <w:link w:val="9"/>
    <w:semiHidden/>
    <w:unhideWhenUsed/>
    <w:qFormat/>
    <w:uiPriority w:val="99"/>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99"/>
    <w:pPr>
      <w:autoSpaceDE w:val="0"/>
      <w:autoSpaceDN w:val="0"/>
      <w:jc w:val="left"/>
    </w:pPr>
    <w:rPr>
      <w:rFonts w:ascii="宋体" w:hAnsi="宋体" w:eastAsia="PMingLiUfalt" w:cs="宋体"/>
      <w:kern w:val="0"/>
      <w:sz w:val="22"/>
      <w:szCs w:val="22"/>
      <w:lang w:val="zh-CN"/>
    </w:rPr>
  </w:style>
  <w:style w:type="paragraph" w:customStyle="1" w:styleId="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421</Words>
  <Characters>2400</Characters>
  <Lines>20</Lines>
  <Paragraphs>5</Paragraphs>
  <TotalTime>30</TotalTime>
  <ScaleCrop>false</ScaleCrop>
  <LinksUpToDate>false</LinksUpToDate>
  <CharactersWithSpaces>2816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2021-03-18T06:44:00Z</dcterms:created>
  <dc:creator>赵媛媛</dc:creator>
  <cp:lastModifiedBy>蜜丝儿李</cp:lastModifiedBy>
  <dcterms:modified xsi:type="dcterms:W3CDTF">2021-04-12T06:38:29Z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2533D2F9852740278F31F3FD8ACFA49A</vt:lpwstr>
  </property>
</Properties>
</file>